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bfbfbf" w:val="clear"/>
        <w:bidi w:val="1"/>
        <w:spacing w:after="0" w:line="360" w:lineRule="auto"/>
        <w:jc w:val="center"/>
        <w:rPr>
          <w:rFonts w:ascii="David" w:cs="David" w:eastAsia="David" w:hAnsi="David"/>
          <w:b w:val="1"/>
          <w:sz w:val="32"/>
          <w:szCs w:val="32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שיתוף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פעולה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האגודה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למען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הלהט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אוניברסיטת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והספרייה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הלאומית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360" w:lineRule="auto"/>
        <w:jc w:val="center"/>
        <w:rPr>
          <w:rFonts w:ascii="David" w:cs="David" w:eastAsia="David" w:hAnsi="Davi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jc w:val="center"/>
        <w:rPr>
          <w:rFonts w:ascii="David" w:cs="David" w:eastAsia="David" w:hAnsi="David"/>
          <w:b w:val="1"/>
          <w:sz w:val="48"/>
          <w:szCs w:val="4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תערוכה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ראשונה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מסוגה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מוצגת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באוניברסיטת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תל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48"/>
          <w:szCs w:val="48"/>
          <w:u w:val="single"/>
          <w:rtl w:val="1"/>
        </w:rPr>
        <w:t xml:space="preserve">אביב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center"/>
        <w:rPr>
          <w:rFonts w:ascii="David" w:cs="David" w:eastAsia="David" w:hAnsi="David"/>
          <w:b w:val="1"/>
          <w:color w:val="002060"/>
          <w:sz w:val="72"/>
          <w:szCs w:val="72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׳100 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תחנות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רגעים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בהיסטוריה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הלהט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״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1"/>
          <w:color w:val="002060"/>
          <w:sz w:val="72"/>
          <w:szCs w:val="72"/>
          <w:rtl w:val="1"/>
        </w:rPr>
        <w:t xml:space="preserve">׳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both"/>
        <w:rPr>
          <w:rFonts w:ascii="David" w:cs="David" w:eastAsia="David" w:hAnsi="David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חודש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הגאווה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מוצגת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בימים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באוניברסיטת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תערוכה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דיגיטלית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׳100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רגעים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בהיסטוריה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הלהט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״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׳.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התערוכה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עוקבת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בהיסטוריה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הגאה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עשייתן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מאבקיהן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ונוכחותן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מפתח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בקהילת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הלהט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בציבוריות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מזוויות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70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האחרונות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התערוכה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מהארכיון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הדיגיטלי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שיושק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בקרוב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ואשר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יחשוף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הציבור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הרחב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לפועלן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דמויות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פורצות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שקידמו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הקהילה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והשפיעו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בתחומים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0" w:line="360" w:lineRule="auto"/>
        <w:jc w:val="both"/>
        <w:rPr>
          <w:rFonts w:ascii="David" w:cs="David" w:eastAsia="David" w:hAnsi="Davi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חודש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הגאווה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מוצגת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בספרייה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למדעי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לניהול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וחינוך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באוניברסיטת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תערוכה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מסוגה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׳100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תחנות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בהיסטוריה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הלהט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׳.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התערוכה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מוצגת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אוניברסיטת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האגודה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הלהט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והספרייה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הלאומית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השקתו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הקרבה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ארכיון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הגאווה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0A">
      <w:pPr>
        <w:bidi w:val="1"/>
        <w:spacing w:after="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התערוכה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עוקבת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ציון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בהיסטוריה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עשייתן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מאבקיהן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ונוכחותן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דמויות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מפתח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בקהילת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הלהט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בציבוריות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מזוויות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70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האחרונות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מהמאבק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לביטול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האיסור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משכב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זכר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והמאבקים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והמצעדים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המפגשים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במחתרת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הקהילה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התקשורת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-50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ימינו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הייצוג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התרבותי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  </w:t>
      </w:r>
    </w:p>
    <w:p w:rsidR="00000000" w:rsidDel="00000000" w:rsidP="00000000" w:rsidRDefault="00000000" w:rsidRPr="00000000" w14:paraId="0000000B">
      <w:pPr>
        <w:bidi w:val="1"/>
        <w:spacing w:after="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כאמור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התערוכה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מהארכיון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הדיגיטלי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'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ארכיון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הגאווה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שבנייתו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תושלם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בקרוב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מיועד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להנגיש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חומרים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ארכיוניים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המתארים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ההיסטוריה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להקנות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הקהילה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אקדמי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לצרכים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חינוכיים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סקרנות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מדובר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בארכיון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דיגיטלי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מקיף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מסודר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ונגיש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שואף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לתעד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שמרכיבות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קהילת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הלהט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רחבי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הארכיון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הדיגיטלי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יחשוף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הרחב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לפועלן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דמויות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פורצות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שקידמו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הקהילה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המדינה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והשפיעו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בתחומים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יצוין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הארכיון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בפרויקט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דיגיטציה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העיתונות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שהתקיימה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תונגש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לציבור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העיתונות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ההיסטורית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JPress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הספרייה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הלאומית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ואוניברסיטת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בהמשך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הארכיון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ינגיש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עיתונות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היסטוריות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מהעיתונות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ארכיונים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ארגוניים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ארגוני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הקהילה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אוספים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פרטיים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החלו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להיאסף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מחברות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הקהילה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אודיו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ווידאו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היסטוריה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מסופרת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פלאיירים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פוסטרים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וחומרים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פסקי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הנוגעים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לזכויות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ומחקרים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ועבודות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אקדמיות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הנוגעות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לקהילה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spacing w:after="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הארכיון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מנוהל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באגודה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שגב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פרנק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בליווי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ואנשי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בכירים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מאוניברסיטת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ובשיתוף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יוזמות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מקומיות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הפתוח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לגאווה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ולסובלנות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בירושלים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ההיסטוריה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החיפאית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ההיסטוריה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בבאר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לאשה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מרכז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המחקר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הפמיניסטי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בחיפה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spacing w:after="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="360" w:lineRule="auto"/>
        <w:jc w:val="both"/>
        <w:rPr>
          <w:rFonts w:ascii="David" w:cs="David" w:eastAsia="David" w:hAnsi="Davi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פרופ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נטע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הנציבה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לשוויון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ומגוון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באוניברסיטת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הארכיון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משקף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מיטבי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האקדמיה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האזרחית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מרכזי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להוויה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תיעוד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מאבקים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לשוויון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היבטים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היסטוריים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וחברתיים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תנועה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חברתית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ומקור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למחקר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שאוניברסיטת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נרתמה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למפעל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הראוי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 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מקווה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שנוכל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לייצר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מוסדי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למטרה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12">
      <w:pPr>
        <w:bidi w:val="1"/>
        <w:spacing w:after="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מנכ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האגודה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הלהט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שלהבי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הקמת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הארכיון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במאבק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לשוויון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וביטחון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ההיסטוריה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הגאה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בלתי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נפרד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מההיסטוריה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וזו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החובה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ההיסטוריה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להוקיר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הדמיות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פורצות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שבזכותם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ולספר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הקהילה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הארכיון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יסייע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ואחת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בקלות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לגלות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ושהם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מקהילה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14">
      <w:pPr>
        <w:bidi w:val="1"/>
        <w:spacing w:after="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שלומית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מנהלת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הספרייה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למדעי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החברה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לניהול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ולחינוך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באוניברסיטת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אביב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בספרייה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התערוכה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המרשימה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ואשר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מתעדת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העשייה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הנראות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שמרכיבות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קהילת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הלהט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רחבי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התערוכה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מכילה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כתבות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עיתונות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היסטוריות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מהעיתונות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הישראלית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המתעדות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הארוכה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שעברה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הקהילה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הציבור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במאבקים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החברתיים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הפוליטיים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והמשפטיים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ארכיונים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ארגוניים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ארגוני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הקהילה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השונים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אוספים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פרטיים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שייאספו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מחברות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וחברי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הקהילה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16">
      <w:pPr>
        <w:bidi w:val="1"/>
        <w:spacing w:after="0" w:line="360" w:lineRule="auto"/>
        <w:jc w:val="both"/>
        <w:rPr>
          <w:rFonts w:ascii="David" w:cs="David" w:eastAsia="David" w:hAnsi="Davi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0" w:line="360" w:lineRule="auto"/>
        <w:jc w:val="both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0" w:line="360" w:lineRule="auto"/>
        <w:jc w:val="both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David" w:cs="David" w:eastAsia="David" w:hAnsi="Davi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0" w:line="360" w:lineRule="auto"/>
        <w:jc w:val="both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22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785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tbl>
    <w:tblPr>
      <w:tblStyle w:val="Table1"/>
      <w:tblW w:w="901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658"/>
      <w:gridCol w:w="2358"/>
      <w:tblGridChange w:id="0">
        <w:tblGrid>
          <w:gridCol w:w="6658"/>
          <w:gridCol w:w="235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E">
          <w:pPr>
            <w:bidi w:val="1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bidi w:val="1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1"/>
            </w:rPr>
            <w:t xml:space="preserve">דוברות</w:t>
          </w: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1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1"/>
            </w:rPr>
            <w:t xml:space="preserve">האוניברסיטה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br w:type="textWrapping"/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משרד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: 03-6405050 | 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נייד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1"/>
            </w:rPr>
            <w:t xml:space="preserve">: 050-6282924</w:t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  <w:tab w:val="left" w:pos="7850"/>
            </w:tabs>
            <w:bidi w:val="1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דוא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"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ל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: </w:t>
          </w:r>
          <w:hyperlink r:id="rId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tomerve@tauex.tau.ac.il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  <w:tab w:val="left" w:pos="7850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219200" cy="647700"/>
                <wp:effectExtent b="0" l="0" r="0" t="0"/>
                <wp:docPr descr="cid:image003.jpg@01D10C32.7AA5F650" id="4" name="image4.png"/>
                <a:graphic>
                  <a:graphicData uri="http://schemas.openxmlformats.org/drawingml/2006/picture">
                    <pic:pic>
                      <pic:nvPicPr>
                        <pic:cNvPr descr="cid:image003.jpg@01D10C32.7AA5F650"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785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35016" cy="943279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5016" cy="9432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4378960</wp:posOffset>
              </wp:positionH>
              <wp:positionV relativeFrom="paragraph">
                <wp:posOffset>306705</wp:posOffset>
              </wp:positionV>
              <wp:extent cx="1809750" cy="450850"/>
              <wp:effectExtent b="25400" l="0" r="1905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4508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7FD9" w:rsidDel="00000000" w:rsidP="00847FD9" w:rsidRDefault="00847FD9" w:rsidRPr="00847FD9">
                          <w:pPr>
                            <w:spacing w:after="0" w:line="240" w:lineRule="auto"/>
                            <w:jc w:val="center"/>
                            <w:rPr>
                              <w:rFonts w:ascii="David" w:cs="David" w:hAnsi="David"/>
                              <w:b w:val="1"/>
                              <w:bCs w:val="1"/>
                              <w:sz w:val="28"/>
                              <w:szCs w:val="28"/>
                              <w:rtl w:val="1"/>
                            </w:rPr>
                          </w:pPr>
                          <w:r w:rsidDel="00000000" w:rsidR="00000000" w:rsidRPr="00847FD9">
                            <w:rPr>
                              <w:rFonts w:ascii="David" w:cs="David" w:hAnsi="David" w:hint="cs"/>
                              <w:b w:val="1"/>
                              <w:bCs w:val="1"/>
                              <w:sz w:val="28"/>
                              <w:szCs w:val="28"/>
                              <w:rtl w:val="1"/>
                            </w:rPr>
                            <w:t xml:space="preserve">מערך </w:t>
                          </w:r>
                          <w:r w:rsidDel="00000000" w:rsidR="00000000" w:rsidRPr="00847FD9">
                            <w:rPr>
                              <w:rFonts w:ascii="David" w:cs="David" w:hAnsi="David"/>
                              <w:b w:val="1"/>
                              <w:bCs w:val="1"/>
                              <w:sz w:val="28"/>
                              <w:szCs w:val="28"/>
                              <w:rtl w:val="1"/>
                            </w:rPr>
                            <w:t xml:space="preserve">דוברות </w:t>
                          </w:r>
                        </w:p>
                        <w:p w:rsidR="00847FD9" w:rsidDel="00000000" w:rsidP="00847FD9" w:rsidRDefault="00847FD9" w:rsidRPr="00847FD9">
                          <w:pPr>
                            <w:spacing w:after="0" w:line="240" w:lineRule="auto"/>
                            <w:jc w:val="center"/>
                            <w:rPr>
                              <w:rFonts w:ascii="David" w:cs="David" w:hAnsi="David"/>
                              <w:b w:val="1"/>
                              <w:bCs w:val="1"/>
                              <w:sz w:val="28"/>
                              <w:szCs w:val="28"/>
                            </w:rPr>
                          </w:pPr>
                          <w:r w:rsidDel="00000000" w:rsidR="00000000" w:rsidRPr="00847FD9">
                            <w:rPr>
                              <w:rFonts w:ascii="David" w:cs="David" w:hAnsi="David"/>
                              <w:b w:val="1"/>
                              <w:bCs w:val="1"/>
                              <w:sz w:val="28"/>
                              <w:szCs w:val="28"/>
                              <w:rtl w:val="1"/>
                            </w:rPr>
                            <w:t>אוניברסיטת</w:t>
                          </w:r>
                          <w:r w:rsidDel="00000000" w:rsidR="00000000" w:rsidRPr="00847FD9">
                            <w:rPr>
                              <w:rFonts w:ascii="David" w:cs="David" w:hAnsi="David" w:hint="cs"/>
                              <w:b w:val="1"/>
                              <w:bCs w:val="1"/>
                              <w:sz w:val="28"/>
                              <w:szCs w:val="28"/>
                              <w:rtl w:val="1"/>
                            </w:rPr>
                            <w:t xml:space="preserve"> </w:t>
                          </w:r>
                          <w:r w:rsidDel="00000000" w:rsidR="00000000" w:rsidRPr="00847FD9">
                            <w:rPr>
                              <w:rFonts w:ascii="David" w:cs="David" w:hAnsi="David"/>
                              <w:b w:val="1"/>
                              <w:bCs w:val="1"/>
                              <w:sz w:val="28"/>
                              <w:szCs w:val="28"/>
                              <w:rtl w:val="1"/>
                            </w:rPr>
                            <w:t>תל אביב</w:t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4378960</wp:posOffset>
              </wp:positionH>
              <wp:positionV relativeFrom="paragraph">
                <wp:posOffset>306705</wp:posOffset>
              </wp:positionV>
              <wp:extent cx="1828800" cy="4762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294005</wp:posOffset>
              </wp:positionV>
              <wp:extent cx="2374900" cy="450850"/>
              <wp:effectExtent b="25400" l="0" r="2540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4508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52D" w:rsidDel="00000000" w:rsidP="00D0652D" w:rsidRDefault="00D0652D" w:rsidRPr="00000000">
                          <w:pPr>
                            <w:spacing w:after="0" w:line="240" w:lineRule="auto"/>
                            <w:jc w:val="center"/>
                            <w:rPr>
                              <w:rFonts w:ascii="David" w:cs="David" w:hAnsi="David"/>
                              <w:b w:val="1"/>
                              <w:bCs w:val="1"/>
                              <w:sz w:val="28"/>
                              <w:szCs w:val="28"/>
                            </w:rPr>
                          </w:pPr>
                          <w:r w:rsidDel="00000000" w:rsidR="00000000" w:rsidRPr="00000000">
                            <w:rPr>
                              <w:rFonts w:ascii="David" w:cs="David" w:hAnsi="David" w:hint="cs"/>
                              <w:b w:val="1"/>
                              <w:bCs w:val="1"/>
                              <w:sz w:val="28"/>
                              <w:szCs w:val="28"/>
                            </w:rPr>
                            <w:t>S</w:t>
                          </w:r>
                          <w:r w:rsidDel="00000000" w:rsidR="00000000" w:rsidRPr="00000000">
                            <w:rPr>
                              <w:rFonts w:ascii="David" w:cs="David" w:hAnsi="David"/>
                              <w:b w:val="1"/>
                              <w:bCs w:val="1"/>
                              <w:sz w:val="28"/>
                              <w:szCs w:val="28"/>
                            </w:rPr>
                            <w:t>pokesperson</w:t>
                          </w:r>
                          <w:r w:rsidDel="00000000" w:rsidR="00A54CA5" w:rsidRPr="00000000">
                            <w:rPr>
                              <w:rFonts w:ascii="David" w:cs="David" w:hAnsi="David"/>
                              <w:b w:val="1"/>
                              <w:bCs w:val="1"/>
                              <w:sz w:val="28"/>
                              <w:szCs w:val="28"/>
                            </w:rPr>
                            <w:t>’s</w:t>
                          </w:r>
                          <w:r w:rsidDel="00000000" w:rsidR="00000000" w:rsidRPr="00000000">
                            <w:rPr>
                              <w:rFonts w:ascii="David" w:cs="David" w:hAnsi="David"/>
                              <w:b w:val="1"/>
                              <w:bCs w:val="1"/>
                              <w:sz w:val="28"/>
                              <w:szCs w:val="28"/>
                            </w:rPr>
                            <w:t xml:space="preserve"> Department</w:t>
                          </w:r>
                        </w:p>
                        <w:p w:rsidR="00D0652D" w:rsidDel="00000000" w:rsidP="00D0652D" w:rsidRDefault="00D0652D" w:rsidRPr="00D0652D">
                          <w:pPr>
                            <w:spacing w:after="0" w:line="240" w:lineRule="auto"/>
                            <w:jc w:val="center"/>
                            <w:rPr>
                              <w:rFonts w:ascii="David" w:cs="David" w:hAnsi="David"/>
                              <w:b w:val="1"/>
                              <w:bCs w:val="1"/>
                              <w:sz w:val="28"/>
                              <w:szCs w:val="28"/>
                              <w:rtl w:val="1"/>
                            </w:rPr>
                          </w:pPr>
                          <w:r w:rsidDel="00000000" w:rsidR="00000000" w:rsidRPr="00000000">
                            <w:rPr>
                              <w:rFonts w:ascii="David" w:cs="David" w:hAnsi="David"/>
                              <w:b w:val="1"/>
                              <w:bCs w:val="1"/>
                              <w:sz w:val="28"/>
                              <w:szCs w:val="28"/>
                            </w:rPr>
                            <w:t>Tel Aviv University</w:t>
                          </w:r>
                        </w:p>
                        <w:p w:rsidR="00D0652D" w:rsidDel="00000000" w:rsidP="00D0652D" w:rsidRDefault="00D0652D" w:rsidRPr="00847FD9">
                          <w:pPr>
                            <w:spacing w:after="0" w:line="240" w:lineRule="auto"/>
                            <w:jc w:val="center"/>
                            <w:rPr>
                              <w:rFonts w:ascii="David" w:cs="David" w:hAnsi="David"/>
                              <w:b w:val="1"/>
                              <w:bCs w:val="1"/>
                              <w:sz w:val="28"/>
                              <w:szCs w:val="28"/>
                            </w:rPr>
                          </w:pPr>
                          <w:r w:rsidDel="00000000" w:rsidR="00000000" w:rsidRPr="00847FD9">
                            <w:rPr>
                              <w:rFonts w:ascii="David" w:cs="David" w:hAnsi="David"/>
                              <w:b w:val="1"/>
                              <w:bCs w:val="1"/>
                              <w:sz w:val="28"/>
                              <w:szCs w:val="28"/>
                              <w:rtl w:val="1"/>
                            </w:rPr>
                            <w:t>אוניברסיטת</w:t>
                          </w:r>
                          <w:r w:rsidDel="00000000" w:rsidR="00000000" w:rsidRPr="00847FD9">
                            <w:rPr>
                              <w:rFonts w:ascii="David" w:cs="David" w:hAnsi="David" w:hint="cs"/>
                              <w:b w:val="1"/>
                              <w:bCs w:val="1"/>
                              <w:sz w:val="28"/>
                              <w:szCs w:val="28"/>
                              <w:rtl w:val="1"/>
                            </w:rPr>
                            <w:t xml:space="preserve"> </w:t>
                          </w:r>
                          <w:r w:rsidDel="00000000" w:rsidR="00000000" w:rsidRPr="00847FD9">
                            <w:rPr>
                              <w:rFonts w:ascii="David" w:cs="David" w:hAnsi="David"/>
                              <w:b w:val="1"/>
                              <w:bCs w:val="1"/>
                              <w:sz w:val="28"/>
                              <w:szCs w:val="28"/>
                              <w:rtl w:val="1"/>
                            </w:rPr>
                            <w:t>תל אביב</w:t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294005</wp:posOffset>
              </wp:positionV>
              <wp:extent cx="2400300" cy="4762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0300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omerve@tauex.tau.ac.il" TargetMode="External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